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r w:rsidRPr="00236499">
        <w:rPr>
          <w:rFonts w:ascii="Times New Roman" w:eastAsia="Times New Roman" w:hAnsi="Times New Roman"/>
          <w:b/>
          <w:bCs/>
          <w:color w:val="000000"/>
          <w:lang w:eastAsia="pl-PL"/>
        </w:rPr>
        <w:t>REGULAMIN – Warunki Udziału w Licytacji Elektronicznej</w:t>
      </w: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color w:val="000000"/>
          <w:sz w:val="16"/>
          <w:szCs w:val="16"/>
          <w:lang w:eastAsia="pl-PL"/>
        </w:rPr>
      </w:pP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color w:val="000000"/>
          <w:lang w:eastAsia="pl-PL"/>
        </w:rPr>
      </w:pPr>
      <w:r w:rsidRPr="00236499">
        <w:rPr>
          <w:rFonts w:ascii="Times New Roman" w:eastAsia="Times New Roman" w:hAnsi="Times New Roman"/>
          <w:color w:val="000000"/>
          <w:lang w:eastAsia="pl-PL"/>
        </w:rPr>
        <w:t>W imieniu ...................................................................................................................................</w:t>
      </w: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color w:val="000000"/>
          <w:lang w:eastAsia="pl-PL"/>
        </w:rPr>
      </w:pPr>
      <w:r w:rsidRPr="00236499">
        <w:rPr>
          <w:rFonts w:ascii="Times New Roman" w:eastAsia="Times New Roman" w:hAnsi="Times New Roman"/>
          <w:color w:val="000000"/>
          <w:lang w:eastAsia="pl-PL"/>
        </w:rPr>
        <w:t>...........................................................................................................................................</w:t>
      </w: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color w:val="000000"/>
          <w:lang w:eastAsia="pl-PL"/>
        </w:rPr>
      </w:pPr>
      <w:r w:rsidRPr="00236499">
        <w:rPr>
          <w:rFonts w:ascii="Times New Roman" w:eastAsia="Times New Roman" w:hAnsi="Times New Roman"/>
          <w:color w:val="000000"/>
          <w:lang w:eastAsia="pl-PL"/>
        </w:rPr>
        <w:t>...........................................................................................................................................</w:t>
      </w: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color w:val="000000"/>
          <w:lang w:eastAsia="pl-PL"/>
        </w:rPr>
      </w:pPr>
      <w:r w:rsidRPr="00236499">
        <w:rPr>
          <w:rFonts w:ascii="Times New Roman" w:eastAsia="Times New Roman" w:hAnsi="Times New Roman"/>
          <w:color w:val="000000"/>
          <w:lang w:eastAsia="pl-PL"/>
        </w:rPr>
        <w:t>zwanej dalej „Oferentem”.</w:t>
      </w: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color w:val="000000"/>
          <w:lang w:eastAsia="pl-PL"/>
        </w:rPr>
      </w:pP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r w:rsidRPr="00236499">
        <w:rPr>
          <w:rFonts w:ascii="Times New Roman" w:eastAsia="Times New Roman" w:hAnsi="Times New Roman"/>
          <w:b/>
          <w:bCs/>
          <w:color w:val="000000"/>
          <w:lang w:eastAsia="pl-PL"/>
        </w:rPr>
        <w:t>Definicje:</w:t>
      </w:r>
    </w:p>
    <w:p w:rsidR="002D4F57" w:rsidRPr="00236499" w:rsidRDefault="002D4F57" w:rsidP="002D4F57">
      <w:pPr>
        <w:widowControl w:val="0"/>
        <w:numPr>
          <w:ilvl w:val="0"/>
          <w:numId w:val="2"/>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b/>
          <w:bCs/>
          <w:color w:val="000000"/>
          <w:lang w:eastAsia="pl-PL"/>
        </w:rPr>
        <w:t xml:space="preserve">Organizator </w:t>
      </w:r>
      <w:r w:rsidRPr="00236499">
        <w:rPr>
          <w:rFonts w:ascii="Times New Roman" w:eastAsia="Times New Roman" w:hAnsi="Times New Roman"/>
          <w:color w:val="000000"/>
          <w:lang w:eastAsia="pl-PL"/>
        </w:rPr>
        <w:t xml:space="preserve">– </w:t>
      </w:r>
      <w:r w:rsidRPr="00236499">
        <w:rPr>
          <w:rFonts w:ascii="Times New Roman" w:eastAsia="Times New Roman" w:hAnsi="Times New Roman"/>
          <w:b/>
          <w:lang w:eastAsia="pl-PL"/>
        </w:rPr>
        <w:t xml:space="preserve">PKP INTERCITY S.A. </w:t>
      </w:r>
      <w:r w:rsidRPr="00236499">
        <w:rPr>
          <w:rFonts w:ascii="Times New Roman" w:eastAsia="Times New Roman" w:hAnsi="Times New Roman"/>
          <w:color w:val="000000"/>
          <w:lang w:eastAsia="pl-PL"/>
        </w:rPr>
        <w:t>na zlecenie, której organizowane są Aukcje;</w:t>
      </w:r>
    </w:p>
    <w:p w:rsidR="002D4F57" w:rsidRPr="00236499" w:rsidRDefault="002D4F57" w:rsidP="002D4F57">
      <w:pPr>
        <w:widowControl w:val="0"/>
        <w:numPr>
          <w:ilvl w:val="0"/>
          <w:numId w:val="2"/>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b/>
          <w:bCs/>
          <w:color w:val="000000"/>
          <w:lang w:eastAsia="pl-PL"/>
        </w:rPr>
        <w:t xml:space="preserve">Operator </w:t>
      </w:r>
      <w:r w:rsidRPr="00236499">
        <w:rPr>
          <w:rFonts w:ascii="Times New Roman" w:eastAsia="Times New Roman" w:hAnsi="Times New Roman"/>
          <w:color w:val="000000"/>
          <w:lang w:eastAsia="pl-PL"/>
        </w:rPr>
        <w:t>– eB2B;</w:t>
      </w:r>
    </w:p>
    <w:p w:rsidR="002D4F57" w:rsidRPr="00236499" w:rsidRDefault="002D4F57" w:rsidP="002D4F57">
      <w:pPr>
        <w:widowControl w:val="0"/>
        <w:numPr>
          <w:ilvl w:val="0"/>
          <w:numId w:val="2"/>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b/>
          <w:bCs/>
          <w:color w:val="000000"/>
          <w:lang w:eastAsia="pl-PL"/>
        </w:rPr>
        <w:t xml:space="preserve">Oferent </w:t>
      </w:r>
      <w:r w:rsidRPr="00236499">
        <w:rPr>
          <w:rFonts w:ascii="Times New Roman" w:eastAsia="Times New Roman" w:hAnsi="Times New Roman"/>
          <w:color w:val="000000"/>
          <w:lang w:eastAsia="pl-PL"/>
        </w:rPr>
        <w:t>– podmiot korzystający z Platformy eB2B w celu wzięcia udziału w Licytacji;</w:t>
      </w:r>
    </w:p>
    <w:p w:rsidR="002D4F57" w:rsidRPr="00236499" w:rsidRDefault="002D4F57" w:rsidP="002D4F57">
      <w:pPr>
        <w:widowControl w:val="0"/>
        <w:numPr>
          <w:ilvl w:val="0"/>
          <w:numId w:val="2"/>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b/>
          <w:bCs/>
          <w:color w:val="000000"/>
          <w:lang w:eastAsia="pl-PL"/>
        </w:rPr>
        <w:t xml:space="preserve">Platforma eB2B </w:t>
      </w:r>
      <w:r w:rsidRPr="00236499">
        <w:rPr>
          <w:rFonts w:ascii="Times New Roman" w:eastAsia="Times New Roman" w:hAnsi="Times New Roman"/>
          <w:color w:val="000000"/>
          <w:lang w:eastAsia="pl-PL"/>
        </w:rPr>
        <w:t xml:space="preserve">– dostępny za pośrednictwem protokołu elektronicznego </w:t>
      </w:r>
      <w:proofErr w:type="spellStart"/>
      <w:r w:rsidRPr="00236499">
        <w:rPr>
          <w:rFonts w:ascii="Times New Roman" w:eastAsia="Times New Roman" w:hAnsi="Times New Roman"/>
          <w:color w:val="000000"/>
          <w:lang w:eastAsia="pl-PL"/>
        </w:rPr>
        <w:t>https</w:t>
      </w:r>
      <w:proofErr w:type="spellEnd"/>
      <w:r w:rsidRPr="00236499">
        <w:rPr>
          <w:rFonts w:ascii="Times New Roman" w:eastAsia="Times New Roman" w:hAnsi="Times New Roman"/>
          <w:color w:val="000000"/>
          <w:lang w:eastAsia="pl-PL"/>
        </w:rPr>
        <w:t xml:space="preserve"> zbiór internetowych aplikacji biznesowych, do których prawa posiada Operator i który jest przezeń eksploatowany, a do którego Oferent uzyskuje określony dostęp;</w:t>
      </w:r>
    </w:p>
    <w:p w:rsidR="002D4F57" w:rsidRPr="00236499" w:rsidRDefault="002D4F57" w:rsidP="002D4F57">
      <w:pPr>
        <w:widowControl w:val="0"/>
        <w:numPr>
          <w:ilvl w:val="0"/>
          <w:numId w:val="2"/>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b/>
          <w:bCs/>
          <w:color w:val="000000"/>
          <w:lang w:eastAsia="pl-PL"/>
        </w:rPr>
        <w:t xml:space="preserve">Elektroniczny System Aukcyjny </w:t>
      </w:r>
      <w:r w:rsidRPr="00236499">
        <w:rPr>
          <w:rFonts w:ascii="Times New Roman" w:eastAsia="Times New Roman" w:hAnsi="Times New Roman"/>
          <w:color w:val="000000"/>
          <w:lang w:eastAsia="pl-PL"/>
        </w:rPr>
        <w:t xml:space="preserve">– dostępna na Platformie eB2B za pośrednictwem protokołu elektronicznego </w:t>
      </w:r>
      <w:proofErr w:type="spellStart"/>
      <w:r w:rsidRPr="00236499">
        <w:rPr>
          <w:rFonts w:ascii="Times New Roman" w:eastAsia="Times New Roman" w:hAnsi="Times New Roman"/>
          <w:color w:val="000000"/>
          <w:lang w:eastAsia="pl-PL"/>
        </w:rPr>
        <w:t>https</w:t>
      </w:r>
      <w:proofErr w:type="spellEnd"/>
      <w:r w:rsidRPr="00236499">
        <w:rPr>
          <w:rFonts w:ascii="Times New Roman" w:eastAsia="Times New Roman" w:hAnsi="Times New Roman"/>
          <w:color w:val="000000"/>
          <w:lang w:eastAsia="pl-PL"/>
        </w:rPr>
        <w:t xml:space="preserve"> internetowa aplikacja licytacyjna, do której prawa posiada Operator i która jest przezeń eksploatowana, a do której Oferent uzyskuje dostęp;</w:t>
      </w:r>
    </w:p>
    <w:p w:rsidR="002D4F57" w:rsidRPr="00236499" w:rsidRDefault="002D4F57" w:rsidP="002D4F57">
      <w:pPr>
        <w:widowControl w:val="0"/>
        <w:numPr>
          <w:ilvl w:val="0"/>
          <w:numId w:val="2"/>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b/>
          <w:bCs/>
          <w:color w:val="000000"/>
          <w:lang w:eastAsia="pl-PL"/>
        </w:rPr>
        <w:t xml:space="preserve">Licytacja </w:t>
      </w:r>
      <w:r w:rsidRPr="00236499">
        <w:rPr>
          <w:rFonts w:ascii="Times New Roman" w:eastAsia="Times New Roman" w:hAnsi="Times New Roman"/>
          <w:color w:val="000000"/>
          <w:lang w:eastAsia="pl-PL"/>
        </w:rPr>
        <w:t xml:space="preserve">– dostępna za pośrednictwem protokołu elektronicznego </w:t>
      </w:r>
      <w:proofErr w:type="spellStart"/>
      <w:r w:rsidRPr="00236499">
        <w:rPr>
          <w:rFonts w:ascii="Times New Roman" w:eastAsia="Times New Roman" w:hAnsi="Times New Roman"/>
          <w:color w:val="000000"/>
          <w:lang w:eastAsia="pl-PL"/>
        </w:rPr>
        <w:t>https</w:t>
      </w:r>
      <w:proofErr w:type="spellEnd"/>
      <w:r w:rsidRPr="00236499">
        <w:rPr>
          <w:rFonts w:ascii="Times New Roman" w:eastAsia="Times New Roman" w:hAnsi="Times New Roman"/>
          <w:color w:val="000000"/>
          <w:lang w:eastAsia="pl-PL"/>
        </w:rPr>
        <w:t>, w ramach internetowej aplikacji licytacyjnej, licytacja elektroniczna organizowana na Platformie eB2B;</w:t>
      </w:r>
    </w:p>
    <w:p w:rsidR="002D4F57" w:rsidRPr="00236499" w:rsidRDefault="002D4F57" w:rsidP="002D4F57">
      <w:pPr>
        <w:widowControl w:val="0"/>
        <w:numPr>
          <w:ilvl w:val="0"/>
          <w:numId w:val="2"/>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b/>
          <w:bCs/>
          <w:color w:val="000000"/>
          <w:lang w:eastAsia="pl-PL"/>
        </w:rPr>
        <w:t xml:space="preserve">Podstawowy Czas Trwania Licytacji Elektronicznej </w:t>
      </w:r>
      <w:r w:rsidRPr="00236499">
        <w:rPr>
          <w:rFonts w:ascii="Times New Roman" w:eastAsia="Times New Roman" w:hAnsi="Times New Roman"/>
          <w:color w:val="000000"/>
          <w:lang w:eastAsia="pl-PL"/>
        </w:rPr>
        <w:t>– czas Licytacji liczony</w:t>
      </w:r>
      <w:r w:rsidRPr="00236499">
        <w:rPr>
          <w:rFonts w:ascii="Times New Roman" w:eastAsia="Times New Roman" w:hAnsi="Times New Roman"/>
          <w:color w:val="000000"/>
          <w:lang w:eastAsia="pl-PL"/>
        </w:rPr>
        <w:br/>
        <w:t>od momentu jej rozpoczęcia do momentu jej zakończenia, bez uwzględnienia czasu przedłużenia Licytacji wynikającego z dogrywek;</w:t>
      </w:r>
    </w:p>
    <w:p w:rsidR="002D4F57" w:rsidRPr="00236499" w:rsidRDefault="002D4F57" w:rsidP="002D4F57">
      <w:pPr>
        <w:widowControl w:val="0"/>
        <w:numPr>
          <w:ilvl w:val="0"/>
          <w:numId w:val="2"/>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b/>
          <w:bCs/>
          <w:color w:val="000000"/>
          <w:lang w:eastAsia="pl-PL"/>
        </w:rPr>
        <w:t xml:space="preserve">Dogrywka </w:t>
      </w:r>
      <w:r w:rsidRPr="00236499">
        <w:rPr>
          <w:rFonts w:ascii="Times New Roman" w:eastAsia="Times New Roman" w:hAnsi="Times New Roman"/>
          <w:color w:val="000000"/>
          <w:lang w:eastAsia="pl-PL"/>
        </w:rPr>
        <w:t>– mechanizm, który powoduje przedłużenie Podstawowego Czasu Trwania Licytacji;</w:t>
      </w:r>
    </w:p>
    <w:p w:rsidR="002D4F57" w:rsidRPr="00236499" w:rsidRDefault="002D4F57" w:rsidP="002D4F57">
      <w:pPr>
        <w:widowControl w:val="0"/>
        <w:numPr>
          <w:ilvl w:val="0"/>
          <w:numId w:val="2"/>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b/>
          <w:bCs/>
          <w:color w:val="000000"/>
          <w:lang w:eastAsia="pl-PL"/>
        </w:rPr>
        <w:t xml:space="preserve">Krok Licytacyjny </w:t>
      </w:r>
      <w:r w:rsidRPr="00236499">
        <w:rPr>
          <w:rFonts w:ascii="Times New Roman" w:eastAsia="Times New Roman" w:hAnsi="Times New Roman"/>
          <w:color w:val="000000"/>
          <w:lang w:eastAsia="pl-PL"/>
        </w:rPr>
        <w:t>– wartość, o którą minimalnie można zwiększyć lub zmniejszyć parametr wniosku;</w:t>
      </w:r>
    </w:p>
    <w:p w:rsidR="002D4F57" w:rsidRPr="00236499" w:rsidRDefault="002D4F57" w:rsidP="002D4F57">
      <w:pPr>
        <w:widowControl w:val="0"/>
        <w:numPr>
          <w:ilvl w:val="0"/>
          <w:numId w:val="2"/>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b/>
          <w:bCs/>
          <w:color w:val="000000"/>
          <w:lang w:eastAsia="pl-PL"/>
        </w:rPr>
        <w:t xml:space="preserve">Oferta </w:t>
      </w:r>
      <w:r w:rsidRPr="00236499">
        <w:rPr>
          <w:rFonts w:ascii="Times New Roman" w:eastAsia="Times New Roman" w:hAnsi="Times New Roman"/>
          <w:color w:val="000000"/>
          <w:lang w:eastAsia="pl-PL"/>
        </w:rPr>
        <w:t>– jeden lub więcej parametrów podlegających zmianie podczas Licytacji.</w:t>
      </w: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r w:rsidRPr="00236499">
        <w:rPr>
          <w:rFonts w:ascii="Times New Roman" w:eastAsia="Times New Roman" w:hAnsi="Times New Roman"/>
          <w:b/>
          <w:bCs/>
          <w:color w:val="000000"/>
          <w:lang w:eastAsia="pl-PL"/>
        </w:rPr>
        <w:t>§ 1. Przedmiot regulaminu</w:t>
      </w:r>
    </w:p>
    <w:p w:rsidR="002D4F57" w:rsidRPr="00236499" w:rsidRDefault="002D4F57" w:rsidP="002D4F57">
      <w:pPr>
        <w:widowControl w:val="0"/>
        <w:numPr>
          <w:ilvl w:val="0"/>
          <w:numId w:val="1"/>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 xml:space="preserve">Przedmiotem niniejszego Regulaminu są szczegółowe zasady Licytacji na sukcesywną sprzedaż złomu </w:t>
      </w:r>
      <w:r>
        <w:rPr>
          <w:rFonts w:ascii="Times New Roman" w:eastAsia="Times New Roman" w:hAnsi="Times New Roman"/>
          <w:color w:val="000000"/>
          <w:lang w:eastAsia="pl-PL"/>
        </w:rPr>
        <w:t>żeliwnego ZZ8</w:t>
      </w:r>
      <w:r>
        <w:rPr>
          <w:rFonts w:ascii="Times New Roman" w:eastAsia="Times New Roman" w:hAnsi="Times New Roman"/>
          <w:color w:val="000000"/>
          <w:lang w:eastAsia="pl-PL"/>
        </w:rPr>
        <w:t xml:space="preserve"> z terenów</w:t>
      </w:r>
      <w:r w:rsidRPr="00236499">
        <w:rPr>
          <w:rFonts w:ascii="Times New Roman" w:eastAsia="Times New Roman" w:hAnsi="Times New Roman"/>
          <w:color w:val="000000"/>
          <w:lang w:eastAsia="pl-PL"/>
        </w:rPr>
        <w:t xml:space="preserve"> działania</w:t>
      </w:r>
      <w:r w:rsidRPr="00236499">
        <w:rPr>
          <w:rFonts w:ascii="Times New Roman" w:eastAsia="Times New Roman" w:hAnsi="Times New Roman"/>
          <w:b/>
          <w:lang w:eastAsia="pl-PL"/>
        </w:rPr>
        <w:t xml:space="preserve"> PKP INTERCITY S.A.</w:t>
      </w:r>
      <w:r w:rsidRPr="00236499">
        <w:rPr>
          <w:rFonts w:ascii="Times New Roman" w:eastAsia="Times New Roman" w:hAnsi="Times New Roman"/>
          <w:color w:val="000000"/>
          <w:lang w:eastAsia="pl-PL"/>
        </w:rPr>
        <w:t xml:space="preserve"> przeprowadzanej na zlecenie Organizatora.</w:t>
      </w:r>
    </w:p>
    <w:p w:rsidR="002D4F57" w:rsidRPr="00236499" w:rsidRDefault="002D4F57" w:rsidP="002D4F57">
      <w:pPr>
        <w:widowControl w:val="0"/>
        <w:numPr>
          <w:ilvl w:val="0"/>
          <w:numId w:val="1"/>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Regulamin zawiera oświadczenia i zobowiązania Oferenta kierowane do Organizatora i Operatora.</w:t>
      </w: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r w:rsidRPr="00236499">
        <w:rPr>
          <w:rFonts w:ascii="Times New Roman" w:eastAsia="Times New Roman" w:hAnsi="Times New Roman"/>
          <w:b/>
          <w:bCs/>
          <w:color w:val="000000"/>
          <w:lang w:eastAsia="pl-PL"/>
        </w:rPr>
        <w:t>§ 2. Elektroniczny System Licytacyjny</w:t>
      </w:r>
    </w:p>
    <w:p w:rsidR="002D4F57" w:rsidRPr="00236499" w:rsidRDefault="002D4F57" w:rsidP="002D4F57">
      <w:pPr>
        <w:widowControl w:val="0"/>
        <w:numPr>
          <w:ilvl w:val="0"/>
          <w:numId w:val="3"/>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 xml:space="preserve">Licytacja będzie przeprowadzana z użyciem Elektronicznego Systemu Licytacyjnego, którego opis zostanie dostarczony Oferentom i jest dostępny pod adresem </w:t>
      </w:r>
      <w:r w:rsidRPr="00236499">
        <w:rPr>
          <w:rFonts w:ascii="Times New Roman" w:hAnsi="Times New Roman"/>
        </w:rPr>
        <w:t>https://pkpintercity.eb2b.com.pl/</w:t>
      </w:r>
    </w:p>
    <w:p w:rsidR="002D4F57" w:rsidRPr="00236499" w:rsidRDefault="002D4F57" w:rsidP="002D4F57">
      <w:pPr>
        <w:widowControl w:val="0"/>
        <w:numPr>
          <w:ilvl w:val="0"/>
          <w:numId w:val="3"/>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Oferent ma świadomość, że Regulamin Elektronicznego Systemu Licytacyjnego akceptowany jest po zalogowaniu do systemu.</w:t>
      </w:r>
    </w:p>
    <w:p w:rsidR="002D4F57" w:rsidRPr="00236499" w:rsidRDefault="002D4F57" w:rsidP="002D4F57">
      <w:pPr>
        <w:widowControl w:val="0"/>
        <w:numPr>
          <w:ilvl w:val="0"/>
          <w:numId w:val="3"/>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Oferent musi zaakceptować Regulamin Elektronicznego Systemu Licytacyjnego, aby mógł składać nowe oferty w Licytacji organizowanej przez Organizatora.</w:t>
      </w:r>
    </w:p>
    <w:p w:rsidR="002D4F57" w:rsidRPr="00236499" w:rsidRDefault="002D4F57" w:rsidP="002D4F57">
      <w:pPr>
        <w:widowControl w:val="0"/>
        <w:autoSpaceDE w:val="0"/>
        <w:autoSpaceDN w:val="0"/>
        <w:adjustRightInd w:val="0"/>
        <w:spacing w:after="0" w:line="240" w:lineRule="auto"/>
        <w:ind w:left="720"/>
        <w:rPr>
          <w:rFonts w:ascii="Times New Roman" w:eastAsia="Times New Roman" w:hAnsi="Times New Roman"/>
          <w:color w:val="000000"/>
          <w:lang w:eastAsia="pl-PL"/>
        </w:rPr>
      </w:pP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r w:rsidRPr="00236499">
        <w:rPr>
          <w:rFonts w:ascii="Times New Roman" w:eastAsia="Times New Roman" w:hAnsi="Times New Roman"/>
          <w:b/>
          <w:bCs/>
          <w:color w:val="000000"/>
          <w:lang w:eastAsia="pl-PL"/>
        </w:rPr>
        <w:t>§ 3. Zasady składania ofert</w:t>
      </w:r>
    </w:p>
    <w:p w:rsidR="002D4F57" w:rsidRPr="00236499" w:rsidRDefault="002D4F57" w:rsidP="002D4F57">
      <w:pPr>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Parametry oferty ustalone w wyniku Licytacji będą parametrami ostatecznymi. Zostaną one uznane jako parametry do zamówienia, o ile oferta Oferenta zostanie wybrana. Strony mogą podjąć dodatkowe negocjacje. Inicjatywa podjęcia negocjacji przysługuje wyłącznie Organizatorowi, zaś Oferent do czasu zakończenia tych negocjacji związany jest najwyższymi cenami, podanymi przez niego na Licytacji.</w:t>
      </w:r>
    </w:p>
    <w:p w:rsidR="002D4F57" w:rsidRPr="00236499" w:rsidRDefault="002D4F57" w:rsidP="002D4F57">
      <w:pPr>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 xml:space="preserve">Oferty złożone podczas Licytacji wiążą Oferentów, aż do dokonania ostatecznego wyboru przez Organizatora (nawet gdyby inni oferenci zgłosili korzystniejsze oferty), nie dłużej jednak niż </w:t>
      </w:r>
      <w:r>
        <w:rPr>
          <w:rFonts w:ascii="Times New Roman" w:eastAsia="Times New Roman" w:hAnsi="Times New Roman"/>
          <w:b/>
          <w:bCs/>
          <w:color w:val="000000"/>
          <w:lang w:eastAsia="pl-PL"/>
        </w:rPr>
        <w:t>120</w:t>
      </w:r>
      <w:r w:rsidRPr="00236499">
        <w:rPr>
          <w:rFonts w:ascii="Times New Roman" w:eastAsia="Times New Roman" w:hAnsi="Times New Roman"/>
          <w:b/>
          <w:bCs/>
          <w:color w:val="000000"/>
          <w:lang w:eastAsia="pl-PL"/>
        </w:rPr>
        <w:t xml:space="preserve"> </w:t>
      </w:r>
      <w:r w:rsidRPr="00236499">
        <w:rPr>
          <w:rFonts w:ascii="Times New Roman" w:eastAsia="Times New Roman" w:hAnsi="Times New Roman"/>
          <w:color w:val="000000"/>
          <w:lang w:eastAsia="pl-PL"/>
        </w:rPr>
        <w:t xml:space="preserve">dni kalendarzowych, licząc od dnia </w:t>
      </w:r>
      <w:r w:rsidRPr="00236499">
        <w:rPr>
          <w:rFonts w:ascii="Times New Roman" w:eastAsia="Times New Roman" w:hAnsi="Times New Roman"/>
          <w:lang w:eastAsia="pl-PL"/>
        </w:rPr>
        <w:t>składania wniosków o dopuszczenie do udziału w licytacji elektronicznej</w:t>
      </w:r>
      <w:r w:rsidRPr="00236499">
        <w:rPr>
          <w:rFonts w:ascii="Times New Roman" w:eastAsia="Times New Roman" w:hAnsi="Times New Roman"/>
          <w:color w:val="000000"/>
          <w:lang w:eastAsia="pl-PL"/>
        </w:rPr>
        <w:t>.</w:t>
      </w:r>
    </w:p>
    <w:p w:rsidR="002D4F57" w:rsidRPr="00236499" w:rsidRDefault="002D4F57" w:rsidP="002D4F57">
      <w:pPr>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Zaoferowanie najwyższej oferty na Licytacji przez Oferenta nie jest równoznaczne z wyborem jego oferty przez Organizatora.</w:t>
      </w: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color w:val="000000"/>
          <w:lang w:eastAsia="pl-PL"/>
        </w:rPr>
      </w:pPr>
      <w:bookmarkStart w:id="0" w:name="_GoBack"/>
      <w:bookmarkEnd w:id="0"/>
    </w:p>
    <w:p w:rsidR="002D4F57"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r w:rsidRPr="00236499">
        <w:rPr>
          <w:rFonts w:ascii="Times New Roman" w:eastAsia="Times New Roman" w:hAnsi="Times New Roman"/>
          <w:b/>
          <w:bCs/>
          <w:color w:val="000000"/>
          <w:lang w:eastAsia="pl-PL"/>
        </w:rPr>
        <w:lastRenderedPageBreak/>
        <w:t>§ 4. Przedmiot Licytacji</w:t>
      </w: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color w:val="000000"/>
          <w:lang w:eastAsia="pl-PL"/>
        </w:rPr>
      </w:pPr>
      <w:r w:rsidRPr="00236499">
        <w:rPr>
          <w:rFonts w:ascii="Times New Roman" w:eastAsia="Times New Roman" w:hAnsi="Times New Roman"/>
          <w:color w:val="000000"/>
          <w:lang w:eastAsia="pl-PL"/>
        </w:rPr>
        <w:t>Przedmiotem Licytacji jest przedmiot opisany w ogłoszeniu.</w:t>
      </w: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b/>
          <w:bCs/>
          <w:color w:val="000000"/>
          <w:lang w:eastAsia="pl-PL"/>
        </w:rPr>
      </w:pP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r w:rsidRPr="00236499">
        <w:rPr>
          <w:rFonts w:ascii="Times New Roman" w:eastAsia="Times New Roman" w:hAnsi="Times New Roman"/>
          <w:b/>
          <w:bCs/>
          <w:color w:val="000000"/>
          <w:lang w:eastAsia="pl-PL"/>
        </w:rPr>
        <w:t>§ 5. Czas trwania Licytacji</w:t>
      </w:r>
    </w:p>
    <w:p w:rsidR="002D4F57" w:rsidRPr="00236499" w:rsidRDefault="002D4F57" w:rsidP="002D4F57">
      <w:pPr>
        <w:widowControl w:val="0"/>
        <w:numPr>
          <w:ilvl w:val="0"/>
          <w:numId w:val="5"/>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 xml:space="preserve">Podstawowy Czas Trwania Licytacji Elektronicznej to </w:t>
      </w:r>
      <w:r>
        <w:rPr>
          <w:rFonts w:ascii="Times New Roman" w:eastAsia="Times New Roman" w:hAnsi="Times New Roman"/>
          <w:b/>
          <w:color w:val="000000"/>
          <w:lang w:eastAsia="pl-PL"/>
        </w:rPr>
        <w:t>3</w:t>
      </w:r>
      <w:r w:rsidRPr="00236499">
        <w:rPr>
          <w:rFonts w:ascii="Times New Roman" w:eastAsia="Times New Roman" w:hAnsi="Times New Roman"/>
          <w:b/>
          <w:color w:val="000000"/>
          <w:lang w:eastAsia="pl-PL"/>
        </w:rPr>
        <w:t>0</w:t>
      </w:r>
      <w:r w:rsidRPr="00236499">
        <w:rPr>
          <w:rFonts w:ascii="Times New Roman" w:eastAsia="Times New Roman" w:hAnsi="Times New Roman"/>
          <w:color w:val="000000"/>
          <w:lang w:eastAsia="pl-PL"/>
        </w:rPr>
        <w:t xml:space="preserve"> </w:t>
      </w:r>
      <w:r w:rsidRPr="00236499">
        <w:rPr>
          <w:rFonts w:ascii="Times New Roman" w:eastAsia="Times New Roman" w:hAnsi="Times New Roman"/>
          <w:b/>
          <w:bCs/>
          <w:color w:val="000000"/>
          <w:lang w:eastAsia="pl-PL"/>
        </w:rPr>
        <w:t>minut</w:t>
      </w:r>
      <w:r w:rsidRPr="00236499">
        <w:rPr>
          <w:rFonts w:ascii="Times New Roman" w:eastAsia="Times New Roman" w:hAnsi="Times New Roman"/>
          <w:color w:val="000000"/>
          <w:lang w:eastAsia="pl-PL"/>
        </w:rPr>
        <w:t>. Podstawowy Czas Trwania może zostać wydłużony o ewentualne dogrywki. Zasady dogrywek zostały przedstawione w ust. 3.</w:t>
      </w:r>
    </w:p>
    <w:p w:rsidR="002D4F57" w:rsidRPr="00236499" w:rsidRDefault="002D4F57" w:rsidP="002D4F57">
      <w:pPr>
        <w:widowControl w:val="0"/>
        <w:numPr>
          <w:ilvl w:val="0"/>
          <w:numId w:val="5"/>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 xml:space="preserve">Dogrywka będzie miała miejsce, jeśli w ciągu ostatnich </w:t>
      </w:r>
      <w:r w:rsidRPr="00236499">
        <w:rPr>
          <w:rFonts w:ascii="Times New Roman" w:eastAsia="Times New Roman" w:hAnsi="Times New Roman"/>
          <w:b/>
          <w:color w:val="000000"/>
          <w:lang w:eastAsia="pl-PL"/>
        </w:rPr>
        <w:t>2</w:t>
      </w:r>
      <w:r w:rsidRPr="00236499">
        <w:rPr>
          <w:rFonts w:ascii="Times New Roman" w:eastAsia="Times New Roman" w:hAnsi="Times New Roman"/>
          <w:b/>
          <w:bCs/>
          <w:color w:val="000000"/>
          <w:lang w:eastAsia="pl-PL"/>
        </w:rPr>
        <w:t xml:space="preserve"> </w:t>
      </w:r>
      <w:r w:rsidRPr="00236499">
        <w:rPr>
          <w:rFonts w:ascii="Times New Roman" w:eastAsia="Times New Roman" w:hAnsi="Times New Roman"/>
          <w:color w:val="000000"/>
          <w:lang w:eastAsia="pl-PL"/>
        </w:rPr>
        <w:t xml:space="preserve">minut czasu trwania Licytacji zostanie złożona nowa oferta. W takim przypadku Licytacja zostanie przedłużona o </w:t>
      </w:r>
      <w:r>
        <w:rPr>
          <w:rFonts w:ascii="Times New Roman" w:eastAsia="Times New Roman" w:hAnsi="Times New Roman"/>
          <w:b/>
          <w:color w:val="000000"/>
          <w:lang w:eastAsia="pl-PL"/>
        </w:rPr>
        <w:t>2</w:t>
      </w:r>
      <w:r w:rsidRPr="00236499">
        <w:rPr>
          <w:rFonts w:ascii="Times New Roman" w:eastAsia="Times New Roman" w:hAnsi="Times New Roman"/>
          <w:b/>
          <w:color w:val="000000"/>
          <w:lang w:eastAsia="pl-PL"/>
        </w:rPr>
        <w:t xml:space="preserve"> </w:t>
      </w:r>
      <w:r w:rsidRPr="00236499">
        <w:rPr>
          <w:rFonts w:ascii="Times New Roman" w:eastAsia="Times New Roman" w:hAnsi="Times New Roman"/>
          <w:color w:val="000000"/>
          <w:lang w:eastAsia="pl-PL"/>
        </w:rPr>
        <w:t>minut</w:t>
      </w:r>
      <w:r>
        <w:rPr>
          <w:rFonts w:ascii="Times New Roman" w:eastAsia="Times New Roman" w:hAnsi="Times New Roman"/>
          <w:color w:val="000000"/>
          <w:lang w:eastAsia="pl-PL"/>
        </w:rPr>
        <w:t>y</w:t>
      </w:r>
      <w:r w:rsidRPr="00236499">
        <w:rPr>
          <w:rFonts w:ascii="Times New Roman" w:eastAsia="Times New Roman" w:hAnsi="Times New Roman"/>
          <w:color w:val="000000"/>
          <w:lang w:eastAsia="pl-PL"/>
        </w:rPr>
        <w:t xml:space="preserve">. Maksymalna ilość dogrywek </w:t>
      </w:r>
      <w:r>
        <w:rPr>
          <w:rFonts w:ascii="Times New Roman" w:eastAsia="Times New Roman" w:hAnsi="Times New Roman"/>
          <w:color w:val="000000"/>
          <w:lang w:eastAsia="pl-PL"/>
        </w:rPr>
        <w:t>999</w:t>
      </w:r>
      <w:r w:rsidRPr="00236499">
        <w:rPr>
          <w:rFonts w:ascii="Times New Roman" w:eastAsia="Times New Roman" w:hAnsi="Times New Roman"/>
          <w:color w:val="000000"/>
          <w:lang w:eastAsia="pl-PL"/>
        </w:rPr>
        <w:t>.</w:t>
      </w: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b/>
          <w:bCs/>
          <w:color w:val="000000"/>
          <w:lang w:eastAsia="pl-PL"/>
        </w:rPr>
      </w:pP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r w:rsidRPr="00236499">
        <w:rPr>
          <w:rFonts w:ascii="Times New Roman" w:eastAsia="Times New Roman" w:hAnsi="Times New Roman"/>
          <w:b/>
          <w:bCs/>
          <w:color w:val="000000"/>
          <w:lang w:eastAsia="pl-PL"/>
        </w:rPr>
        <w:t>§ 6. Ceny i licytacja</w:t>
      </w:r>
    </w:p>
    <w:p w:rsidR="002D4F57" w:rsidRPr="00236499" w:rsidRDefault="002D4F57" w:rsidP="002D4F57">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 xml:space="preserve">Wartością licytowaną na Licytacji będzie </w:t>
      </w:r>
      <w:r w:rsidRPr="00236499">
        <w:rPr>
          <w:rFonts w:ascii="Times New Roman" w:eastAsia="Times New Roman" w:hAnsi="Times New Roman"/>
          <w:b/>
          <w:bCs/>
          <w:color w:val="000000"/>
          <w:lang w:eastAsia="pl-PL"/>
        </w:rPr>
        <w:t>cena netto w PLN.</w:t>
      </w:r>
    </w:p>
    <w:p w:rsidR="002D4F57" w:rsidRPr="00236499" w:rsidRDefault="002D4F57" w:rsidP="002D4F57">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Dostępna widoczność na konsoli ofert:</w:t>
      </w:r>
    </w:p>
    <w:p w:rsidR="002D4F57" w:rsidRPr="00236499" w:rsidRDefault="002D4F57" w:rsidP="002D4F57">
      <w:pPr>
        <w:widowControl w:val="0"/>
        <w:numPr>
          <w:ilvl w:val="0"/>
          <w:numId w:val="7"/>
        </w:numPr>
        <w:autoSpaceDE w:val="0"/>
        <w:autoSpaceDN w:val="0"/>
        <w:adjustRightInd w:val="0"/>
        <w:spacing w:after="0" w:line="240" w:lineRule="auto"/>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Wartość oferty prowadzącej;</w:t>
      </w:r>
    </w:p>
    <w:p w:rsidR="002D4F57" w:rsidRPr="00236499" w:rsidRDefault="002D4F57" w:rsidP="002D4F57">
      <w:pPr>
        <w:widowControl w:val="0"/>
        <w:numPr>
          <w:ilvl w:val="0"/>
          <w:numId w:val="7"/>
        </w:numPr>
        <w:autoSpaceDE w:val="0"/>
        <w:autoSpaceDN w:val="0"/>
        <w:adjustRightInd w:val="0"/>
        <w:spacing w:after="0" w:line="240" w:lineRule="auto"/>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Wartość własnej oferty.</w:t>
      </w:r>
    </w:p>
    <w:p w:rsidR="002D4F57" w:rsidRPr="00236499" w:rsidRDefault="002D4F57" w:rsidP="002D4F57">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b/>
          <w:bCs/>
          <w:color w:val="000000"/>
          <w:lang w:eastAsia="pl-PL"/>
        </w:rPr>
      </w:pPr>
      <w:r w:rsidRPr="00236499">
        <w:rPr>
          <w:rFonts w:ascii="Times New Roman" w:eastAsia="Times New Roman" w:hAnsi="Times New Roman"/>
          <w:color w:val="000000"/>
          <w:lang w:eastAsia="pl-PL"/>
        </w:rPr>
        <w:t xml:space="preserve">Minimalny skok licytacyjny wynosi: </w:t>
      </w:r>
      <w:r w:rsidRPr="00236499">
        <w:rPr>
          <w:rFonts w:ascii="Times New Roman" w:eastAsia="Times New Roman" w:hAnsi="Times New Roman"/>
          <w:b/>
          <w:color w:val="000000"/>
          <w:lang w:eastAsia="pl-PL"/>
        </w:rPr>
        <w:t>1</w:t>
      </w:r>
      <w:r>
        <w:rPr>
          <w:rFonts w:ascii="Times New Roman" w:eastAsia="Times New Roman" w:hAnsi="Times New Roman"/>
          <w:b/>
          <w:color w:val="000000"/>
          <w:lang w:eastAsia="pl-PL"/>
        </w:rPr>
        <w:t>0</w:t>
      </w:r>
      <w:r w:rsidRPr="00236499">
        <w:rPr>
          <w:rFonts w:ascii="Times New Roman" w:eastAsia="Times New Roman" w:hAnsi="Times New Roman"/>
          <w:b/>
          <w:color w:val="000000"/>
          <w:lang w:eastAsia="pl-PL"/>
        </w:rPr>
        <w:t xml:space="preserve"> PLN</w:t>
      </w:r>
      <w:r w:rsidRPr="00236499">
        <w:rPr>
          <w:rFonts w:ascii="Times New Roman" w:eastAsia="Times New Roman" w:hAnsi="Times New Roman"/>
          <w:color w:val="000000"/>
          <w:lang w:eastAsia="pl-PL"/>
        </w:rPr>
        <w:t>.</w:t>
      </w:r>
    </w:p>
    <w:p w:rsidR="002D4F57" w:rsidRPr="00236499" w:rsidRDefault="002D4F57" w:rsidP="002D4F57">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Licytacja odbywać się będzie według reguły zwyżkowej „aukcji angielskiej”, co oznacza, że każda następna oferta zostanie przyjęta tylko wówczas, gdy będzie ona wyższa od aktualnie najwyższej oferty. Oferent nie będzie miał możliwości obniżenia uprzednio zaproponowanej przez siebie oferty cenowej.</w:t>
      </w:r>
    </w:p>
    <w:p w:rsidR="002D4F57" w:rsidRPr="00236499" w:rsidRDefault="002D4F57" w:rsidP="002D4F57">
      <w:pPr>
        <w:widowControl w:val="0"/>
        <w:autoSpaceDE w:val="0"/>
        <w:autoSpaceDN w:val="0"/>
        <w:adjustRightInd w:val="0"/>
        <w:spacing w:after="0" w:line="240" w:lineRule="auto"/>
        <w:ind w:left="720"/>
        <w:rPr>
          <w:rFonts w:ascii="Times New Roman" w:eastAsia="Times New Roman" w:hAnsi="Times New Roman"/>
          <w:color w:val="000000"/>
          <w:lang w:eastAsia="pl-PL"/>
        </w:rPr>
      </w:pP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r w:rsidRPr="00236499">
        <w:rPr>
          <w:rFonts w:ascii="Times New Roman" w:eastAsia="Times New Roman" w:hAnsi="Times New Roman"/>
          <w:b/>
          <w:bCs/>
          <w:color w:val="000000"/>
          <w:lang w:eastAsia="pl-PL"/>
        </w:rPr>
        <w:t>§ 7. Pomoc podczas Licytacji</w:t>
      </w:r>
    </w:p>
    <w:p w:rsidR="002D4F57" w:rsidRPr="00236499" w:rsidRDefault="002D4F57" w:rsidP="002D4F57">
      <w:pPr>
        <w:widowControl w:val="0"/>
        <w:numPr>
          <w:ilvl w:val="0"/>
          <w:numId w:val="8"/>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Podczas Licytacji Oferent może skorzystać z pomocy telefonicznej pod numerami: +48224281928, +48722323222, +48600390036, +48695347328, +48223783970,</w:t>
      </w:r>
    </w:p>
    <w:p w:rsidR="002D4F57" w:rsidRPr="00236499" w:rsidRDefault="002D4F57" w:rsidP="002D4F57">
      <w:pPr>
        <w:widowControl w:val="0"/>
        <w:numPr>
          <w:ilvl w:val="0"/>
          <w:numId w:val="8"/>
        </w:numPr>
        <w:autoSpaceDE w:val="0"/>
        <w:autoSpaceDN w:val="0"/>
        <w:adjustRightInd w:val="0"/>
        <w:spacing w:after="0" w:line="240" w:lineRule="auto"/>
        <w:ind w:left="426" w:hanging="426"/>
        <w:jc w:val="both"/>
        <w:rPr>
          <w:rFonts w:ascii="Times New Roman" w:eastAsia="Times New Roman" w:hAnsi="Times New Roman"/>
          <w:color w:val="000000"/>
          <w:lang w:eastAsia="pl-PL"/>
        </w:rPr>
      </w:pPr>
      <w:r w:rsidRPr="00236499">
        <w:rPr>
          <w:rFonts w:ascii="Times New Roman" w:eastAsia="Times New Roman" w:hAnsi="Times New Roman"/>
          <w:color w:val="000000"/>
          <w:lang w:eastAsia="pl-PL"/>
        </w:rPr>
        <w:t>Szczegółowe zasady pomocy podczas Licytacji zostały przedstawione w Regulaminie Elektronicznego Systemu Licytacyjnego.</w:t>
      </w: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r w:rsidRPr="00236499">
        <w:rPr>
          <w:rFonts w:ascii="Times New Roman" w:eastAsia="Times New Roman" w:hAnsi="Times New Roman"/>
          <w:b/>
          <w:bCs/>
          <w:color w:val="000000"/>
          <w:lang w:eastAsia="pl-PL"/>
        </w:rPr>
        <w:t>§ 8. Opłaty</w:t>
      </w: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color w:val="000000"/>
          <w:lang w:eastAsia="pl-PL"/>
        </w:rPr>
      </w:pPr>
      <w:r w:rsidRPr="00236499">
        <w:rPr>
          <w:rFonts w:ascii="Times New Roman" w:eastAsia="Times New Roman" w:hAnsi="Times New Roman"/>
          <w:color w:val="000000"/>
          <w:lang w:eastAsia="pl-PL"/>
        </w:rPr>
        <w:t>Oferent nie ponosi żadnych opłat z tytułu udziału w Licytacji.</w:t>
      </w:r>
    </w:p>
    <w:p w:rsidR="002D4F57" w:rsidRPr="00236499" w:rsidRDefault="002D4F57" w:rsidP="002D4F57">
      <w:pPr>
        <w:widowControl w:val="0"/>
        <w:autoSpaceDE w:val="0"/>
        <w:autoSpaceDN w:val="0"/>
        <w:adjustRightInd w:val="0"/>
        <w:spacing w:after="0" w:line="240" w:lineRule="auto"/>
        <w:rPr>
          <w:rFonts w:ascii="Times New Roman" w:eastAsia="Times New Roman" w:hAnsi="Times New Roman"/>
          <w:b/>
          <w:bCs/>
          <w:color w:val="000000"/>
          <w:lang w:eastAsia="pl-PL"/>
        </w:rPr>
      </w:pPr>
    </w:p>
    <w:p w:rsidR="002D4F57" w:rsidRPr="00236499" w:rsidRDefault="002D4F57" w:rsidP="002D4F57">
      <w:pPr>
        <w:widowControl w:val="0"/>
        <w:autoSpaceDE w:val="0"/>
        <w:autoSpaceDN w:val="0"/>
        <w:adjustRightInd w:val="0"/>
        <w:spacing w:after="0" w:line="240" w:lineRule="auto"/>
        <w:jc w:val="center"/>
        <w:rPr>
          <w:rFonts w:ascii="Times New Roman" w:eastAsia="Times New Roman" w:hAnsi="Times New Roman"/>
          <w:b/>
          <w:bCs/>
          <w:color w:val="000000"/>
          <w:lang w:eastAsia="pl-PL"/>
        </w:rPr>
      </w:pPr>
      <w:r w:rsidRPr="00236499">
        <w:rPr>
          <w:rFonts w:ascii="Times New Roman" w:eastAsia="Times New Roman" w:hAnsi="Times New Roman"/>
          <w:b/>
          <w:bCs/>
          <w:color w:val="000000"/>
          <w:lang w:eastAsia="pl-PL"/>
        </w:rPr>
        <w:t>§ 9. Postanowienia końcowe</w:t>
      </w:r>
    </w:p>
    <w:p w:rsidR="002D4F57" w:rsidRPr="00236499" w:rsidRDefault="002D4F57" w:rsidP="002D4F57">
      <w:pPr>
        <w:widowControl w:val="0"/>
        <w:autoSpaceDE w:val="0"/>
        <w:autoSpaceDN w:val="0"/>
        <w:adjustRightInd w:val="0"/>
        <w:spacing w:after="120" w:line="240" w:lineRule="auto"/>
        <w:rPr>
          <w:rFonts w:ascii="Times New Roman" w:eastAsia="Times New Roman" w:hAnsi="Times New Roman"/>
          <w:color w:val="000000"/>
          <w:lang w:eastAsia="pl-PL"/>
        </w:rPr>
      </w:pPr>
      <w:r w:rsidRPr="00236499">
        <w:rPr>
          <w:rFonts w:ascii="Times New Roman" w:eastAsia="Times New Roman" w:hAnsi="Times New Roman"/>
          <w:color w:val="000000"/>
          <w:lang w:eastAsia="pl-PL"/>
        </w:rPr>
        <w:t>Warunkiem dopuszczenia Oferenta do udziału w Licytacji jest spełnienie wszystkich wymagań określonych w ogłoszeniu przez Organizatora.</w:t>
      </w:r>
    </w:p>
    <w:p w:rsidR="002D4F57" w:rsidRPr="00236499" w:rsidRDefault="002D4F57" w:rsidP="002D4F57">
      <w:pPr>
        <w:widowControl w:val="0"/>
        <w:autoSpaceDE w:val="0"/>
        <w:autoSpaceDN w:val="0"/>
        <w:adjustRightInd w:val="0"/>
        <w:spacing w:after="120" w:line="240" w:lineRule="auto"/>
        <w:rPr>
          <w:rFonts w:ascii="Times New Roman" w:eastAsia="Times New Roman" w:hAnsi="Times New Roman"/>
          <w:color w:val="000000"/>
          <w:lang w:eastAsia="pl-PL"/>
        </w:rPr>
      </w:pPr>
    </w:p>
    <w:p w:rsidR="002D4F57" w:rsidRPr="00236499" w:rsidRDefault="002D4F57" w:rsidP="002D4F57">
      <w:pPr>
        <w:widowControl w:val="0"/>
        <w:autoSpaceDE w:val="0"/>
        <w:autoSpaceDN w:val="0"/>
        <w:adjustRightInd w:val="0"/>
        <w:spacing w:after="120" w:line="240" w:lineRule="auto"/>
        <w:rPr>
          <w:rFonts w:ascii="Times New Roman" w:eastAsia="Times New Roman" w:hAnsi="Times New Roman"/>
          <w:color w:val="000000"/>
          <w:lang w:eastAsia="pl-PL"/>
        </w:rPr>
      </w:pPr>
      <w:r w:rsidRPr="00236499">
        <w:rPr>
          <w:rFonts w:ascii="Times New Roman" w:eastAsia="Times New Roman" w:hAnsi="Times New Roman"/>
          <w:color w:val="000000"/>
          <w:lang w:eastAsia="pl-PL"/>
        </w:rPr>
        <w:t>Oświadczam/Oświadczamy*, iż zapoznałem/zapoznaliśmy* się i akceptuję/akceptujemy treść Regulaminu.</w:t>
      </w:r>
    </w:p>
    <w:p w:rsidR="002D4F57" w:rsidRPr="00236499" w:rsidRDefault="002D4F57" w:rsidP="002D4F57">
      <w:pPr>
        <w:widowControl w:val="0"/>
        <w:autoSpaceDE w:val="0"/>
        <w:autoSpaceDN w:val="0"/>
        <w:adjustRightInd w:val="0"/>
        <w:spacing w:after="120" w:line="240" w:lineRule="auto"/>
        <w:rPr>
          <w:rFonts w:ascii="Times New Roman" w:eastAsia="Times New Roman" w:hAnsi="Times New Roman"/>
          <w:color w:val="000000"/>
          <w:lang w:eastAsia="pl-PL"/>
        </w:rPr>
      </w:pPr>
    </w:p>
    <w:p w:rsidR="002D4F57" w:rsidRPr="00236499" w:rsidRDefault="002D4F57" w:rsidP="002D4F57">
      <w:pPr>
        <w:widowControl w:val="0"/>
        <w:autoSpaceDE w:val="0"/>
        <w:autoSpaceDN w:val="0"/>
        <w:adjustRightInd w:val="0"/>
        <w:spacing w:after="120" w:line="240" w:lineRule="auto"/>
        <w:rPr>
          <w:rFonts w:ascii="Times New Roman" w:eastAsia="Times New Roman" w:hAnsi="Times New Roman"/>
          <w:color w:val="000000"/>
          <w:lang w:eastAsia="pl-PL"/>
        </w:rPr>
      </w:pPr>
    </w:p>
    <w:p w:rsidR="002D4F57" w:rsidRPr="00236499" w:rsidRDefault="002D4F57" w:rsidP="002D4F57">
      <w:pPr>
        <w:widowControl w:val="0"/>
        <w:autoSpaceDE w:val="0"/>
        <w:autoSpaceDN w:val="0"/>
        <w:adjustRightInd w:val="0"/>
        <w:spacing w:after="0" w:line="240" w:lineRule="auto"/>
        <w:ind w:left="5720" w:right="72"/>
        <w:jc w:val="center"/>
        <w:rPr>
          <w:rFonts w:ascii="Times New Roman" w:eastAsia="Times New Roman" w:hAnsi="Times New Roman"/>
          <w:lang w:eastAsia="pl-PL"/>
        </w:rPr>
      </w:pPr>
      <w:r w:rsidRPr="00236499">
        <w:rPr>
          <w:rFonts w:ascii="Times New Roman" w:eastAsia="Times New Roman" w:hAnsi="Times New Roman"/>
          <w:lang w:eastAsia="pl-PL"/>
        </w:rPr>
        <w:t>_____________</w:t>
      </w:r>
    </w:p>
    <w:p w:rsidR="002D4F57" w:rsidRPr="00236499" w:rsidRDefault="002D4F57" w:rsidP="002D4F57">
      <w:pPr>
        <w:widowControl w:val="0"/>
        <w:autoSpaceDE w:val="0"/>
        <w:autoSpaceDN w:val="0"/>
        <w:adjustRightInd w:val="0"/>
        <w:spacing w:after="0" w:line="240" w:lineRule="auto"/>
        <w:ind w:left="5720" w:right="72"/>
        <w:jc w:val="center"/>
        <w:rPr>
          <w:rFonts w:ascii="Times New Roman" w:eastAsia="Times New Roman" w:hAnsi="Times New Roman"/>
          <w:sz w:val="18"/>
          <w:szCs w:val="18"/>
          <w:lang w:eastAsia="pl-PL"/>
        </w:rPr>
      </w:pPr>
      <w:r w:rsidRPr="00236499">
        <w:rPr>
          <w:rFonts w:ascii="Times New Roman" w:eastAsia="Times New Roman" w:hAnsi="Times New Roman"/>
          <w:sz w:val="18"/>
          <w:szCs w:val="18"/>
          <w:lang w:eastAsia="pl-PL"/>
        </w:rPr>
        <w:t>(podpis / podpisy</w:t>
      </w:r>
      <w:r w:rsidRPr="00236499">
        <w:rPr>
          <w:rFonts w:ascii="Times New Roman" w:eastAsia="Times New Roman" w:hAnsi="Times New Roman"/>
          <w:color w:val="000000"/>
          <w:lang w:eastAsia="pl-PL"/>
        </w:rPr>
        <w:t>*</w:t>
      </w:r>
      <w:r w:rsidRPr="00236499">
        <w:rPr>
          <w:rFonts w:ascii="Times New Roman" w:eastAsia="Times New Roman" w:hAnsi="Times New Roman"/>
          <w:sz w:val="18"/>
          <w:szCs w:val="18"/>
          <w:lang w:eastAsia="pl-PL"/>
        </w:rPr>
        <w:t>)</w:t>
      </w:r>
    </w:p>
    <w:p w:rsidR="002D4F57" w:rsidRPr="00236499" w:rsidRDefault="002D4F57" w:rsidP="002D4F57">
      <w:pPr>
        <w:widowControl w:val="0"/>
        <w:autoSpaceDE w:val="0"/>
        <w:autoSpaceDN w:val="0"/>
        <w:adjustRightInd w:val="0"/>
        <w:spacing w:after="0" w:line="240" w:lineRule="auto"/>
        <w:ind w:right="432"/>
        <w:rPr>
          <w:rFonts w:ascii="Times New Roman" w:eastAsia="Times New Roman" w:hAnsi="Times New Roman"/>
          <w:sz w:val="18"/>
          <w:szCs w:val="18"/>
          <w:lang w:eastAsia="pl-PL"/>
        </w:rPr>
      </w:pPr>
      <w:r w:rsidRPr="00236499">
        <w:rPr>
          <w:rFonts w:ascii="Times New Roman" w:eastAsia="Times New Roman" w:hAnsi="Times New Roman"/>
          <w:color w:val="000000"/>
          <w:lang w:eastAsia="pl-PL"/>
        </w:rPr>
        <w:t>*</w:t>
      </w:r>
      <w:r w:rsidRPr="00236499">
        <w:rPr>
          <w:rFonts w:ascii="Times New Roman" w:eastAsia="Times New Roman" w:hAnsi="Times New Roman"/>
          <w:sz w:val="18"/>
          <w:szCs w:val="18"/>
          <w:vertAlign w:val="superscript"/>
          <w:lang w:eastAsia="pl-PL"/>
        </w:rPr>
        <w:t xml:space="preserve"> </w:t>
      </w:r>
      <w:r w:rsidRPr="00236499">
        <w:rPr>
          <w:rFonts w:ascii="Times New Roman" w:eastAsia="Times New Roman" w:hAnsi="Times New Roman"/>
          <w:sz w:val="18"/>
          <w:szCs w:val="18"/>
          <w:lang w:eastAsia="pl-PL"/>
        </w:rPr>
        <w:t>- niepotrzebne skreślić</w:t>
      </w:r>
    </w:p>
    <w:p w:rsidR="00F529DB" w:rsidRDefault="00F529DB"/>
    <w:sectPr w:rsidR="00F52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21"/>
    <w:multiLevelType w:val="hybridMultilevel"/>
    <w:tmpl w:val="10B423EE"/>
    <w:lvl w:ilvl="0" w:tplc="C1D494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98C60BC"/>
    <w:multiLevelType w:val="hybridMultilevel"/>
    <w:tmpl w:val="5260C2C4"/>
    <w:lvl w:ilvl="0" w:tplc="4F88911E">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15:restartNumberingAfterBreak="0">
    <w:nsid w:val="3B9C080C"/>
    <w:multiLevelType w:val="hybridMultilevel"/>
    <w:tmpl w:val="DDCC86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D937B10"/>
    <w:multiLevelType w:val="hybridMultilevel"/>
    <w:tmpl w:val="E5B020AC"/>
    <w:lvl w:ilvl="0" w:tplc="D3D056F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000753A"/>
    <w:multiLevelType w:val="hybridMultilevel"/>
    <w:tmpl w:val="E82C90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40B9298E"/>
    <w:multiLevelType w:val="hybridMultilevel"/>
    <w:tmpl w:val="AD46C52C"/>
    <w:lvl w:ilvl="0" w:tplc="D3D056F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FF511C1"/>
    <w:multiLevelType w:val="hybridMultilevel"/>
    <w:tmpl w:val="7752F7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6A87CD2"/>
    <w:multiLevelType w:val="hybridMultilevel"/>
    <w:tmpl w:val="A1CC96B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7"/>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70"/>
    <w:rsid w:val="002D4F57"/>
    <w:rsid w:val="00B54470"/>
    <w:rsid w:val="00F529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19C7"/>
  <w15:chartTrackingRefBased/>
  <w15:docId w15:val="{1529B9FB-0818-4F49-BA9D-6A5D5CD5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4F5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4443</Characters>
  <Application>Microsoft Office Word</Application>
  <DocSecurity>0</DocSecurity>
  <Lines>37</Lines>
  <Paragraphs>10</Paragraphs>
  <ScaleCrop>false</ScaleCrop>
  <Company>PKP Intercity S.A.</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Mąkosa Michał</dc:creator>
  <cp:keywords/>
  <dc:description/>
  <cp:lastModifiedBy>Mąkosa Michał</cp:lastModifiedBy>
  <cp:revision>2</cp:revision>
  <dcterms:created xsi:type="dcterms:W3CDTF">2025-02-05T06:58:00Z</dcterms:created>
  <dcterms:modified xsi:type="dcterms:W3CDTF">2025-02-05T06:59:00Z</dcterms:modified>
</cp:coreProperties>
</file>